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Gilbertsville-Mount Upton Central School District uses a zero-based budget approach to funding.  Each year the administration team meets with the Superintendent and the Business Manager to define program requirements and goals and the funding necessary to achieve these objectives.  In conjunction with this assessment, the Board of Education sets specific academic goals and objectives (ie. literacy improvement) for the academic school year.   Within this framework each administrator is key to the development of their budget for the upcoming school year.  The building principal and operational administrator (building and grounds, transportation, technology, CSE, business and finance, school cafeteria program are tasked with submission of their initial budget data/funding with the assumption all programs and services currently existing will be in place in the upcoming school year.  Any new programs/initiatives that require additional funding are captured on a worksheet for future budget discussion and considerations.  This process all takes place by the end of January.  As the appropriation budget process continues, certain cost elements are able to be better defined (health insurance, retirement system costs, fuel costs) and the overall appropriation budget becomes clearer.  During February to March, the superintendent,  administration team, and the board of education continue to review both draft revenue and appropriation budgets, available reserves, tax cap calculations, prioritizes new initiatives and sets budget parameters and resources based on estimated projected state funding.  Gilbertsville-Mount Upton CSD is a very high need/low wealth district.  NYS aid funds 65-70% of the district budget and this becomes critical to defining available resources to all areas of the district and eventually the decision making and allocation of resources to fund programs and initiatives based on prioritization.  The final NYS budget dictates the final decisions on funding the upcoming school year budget.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You will notice larger funding per pupil at the Middle/High School.  There are a couple of reasons for this. Special Education Program costs are higher as we utilize BOCES programs and supports more frequently at the Middle/High School level.  In addition, enrollment in the Middle/High School is less than Elementary School.  This increases the per pupil spending.  We also have an in-house 12:1:1 in the Elementary School which keeps our Special Education costs lower at this level.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timing of this transparency falls at a time where districts are extremely busy with year end audit reports, filing of the ST-3, the beginning of school start-up, and school tax collection.  Moving the deadline of this transparency report to either October or November would be very helpful!  Thank you for your consideration!</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