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School building need is the primary driver for allocation of funds between grade levels. The needs of the students, the demographic and educational challenges of certain cohorts are the focus when building the budget to best meet these needs. The oversight of the Superintendent and administrative leadership, along with recommendations of counseling and curriculum development staff are all taken into account. We have no specific methodology as these needs could change from year to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students with disabilities population potentially changes the allocation levels among buildings, and the necessary resources associated with their success. This could change depending on cohorts as enrollment is fluid.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We do not identify any anomaly's that require additional information.</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