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Forestville CSD follows the Questar Budget Development process.  Beginning in November of each year, meetings are held to determine what data is needed for budget planning meetings with building and program leaders.  One of the most significant is enrollment and assessment data which drives staffing and class size decisions at each building.
</w:t>
      </w:r>
    </w:p>
    <w:p>
      <w:pPr>
        <w:ind w:left="720"/>
      </w:pPr>
      <w:r>
        <w:rPr>
          <w:rFonts w:ascii="Garamond" w:hAnsi="Garamond"/>
        </w:rPr>
        <w:t>Like most districts, most of the budget is driven by contractual obligations.  For example, one of the first tasks in the budget development process is to work with our fiscal advisors and Central Business Office to calculate the debt service principal and interest payments for the year.  Additionally, all salaries and benefits are part of bargaining contracts so those obligations are applied to the related salary lines.  Usually around January/February we will get information on pricing from our employee benefit vendors which drives those budget line adjustments.  We also get information on teacher retirements which can further impact staffing determinations.
</w:t>
      </w:r>
    </w:p>
    <w:p>
      <w:pPr>
        <w:ind w:left="720"/>
      </w:pPr>
      <w:r>
        <w:rPr>
          <w:rFonts w:ascii="Garamond" w:hAnsi="Garamond"/>
        </w:rPr>
        <w:t>Another major component of the budget is special education.  The business office works with the CSE Director to project costs for out-of-district placements for current and incoming students.
</w:t>
      </w:r>
    </w:p>
    <w:p>
      <w:pPr>
        <w:ind w:left="720"/>
      </w:pPr>
      <w:r>
        <w:rPr>
          <w:rFonts w:ascii="Garamond" w:hAnsi="Garamond"/>
        </w:rPr>
        <w:t>
</w:t>
      </w:r>
    </w:p>
    <w:p>
      <w:pPr>
        <w:ind w:left="720"/>
      </w:pPr>
      <w:r>
        <w:rPr>
          <w:rFonts w:ascii="Garamond" w:hAnsi="Garamond"/>
        </w:rPr>
        <w:t>On the revenue side, projections are made using the governor’s state aid numbers, tax cap calculations, and historical data.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