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takes all specific student needs into account when developing the budget. The budget is developed by working with each of the building principals to determine their students needs and class scheduling. The Superintendent curriculum sets learning initiatives, goals and  strategies for each building. The Special Education Director reviews at our current special education population and makes projections for the upcoming year. The Board of Education sets policies and speaks to the community expectations. The budget is developed by the Assistant Superintendent of Finance and operations. The discussion with the building principals begins late fall and continues through the spring when the Superintendent proposes his budget, typically in March. After the educational, social and emotional needs of the students are determined, then we craft a rollover budget. This budget projects the upcoming year salaries and benefits. Specific initiatives and projects are discussed. We look at the physical buildings to determine how foster a positive learning environment for our students. This year we focused on athletic needs, last year we focused on music.  The tax cap calculation and state aid determine most of the revenue side of the budget. the Board of Education adopts the final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stated above, we have different initiatives each year. The initiative may be subject based and given the student population is not the same in every school, that can skew the budget. Our buildings are of different ages, one building is 125 years old so the projects on a building may not reflect the population numbers.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