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Assistant Superintendent for Business.  The process begins in December and goes until budget adoption in April.  Student needs are communicated through the building and district-wide administrators' assessments of students throughout the year.  All district administrators are involved in the budget process.  Multiple meetings are help to discuss and prioritize funding requests.  The Board of Education's role is to provide overall priorities and financial guidelines.  Each building principal represents the needs of their respective building.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two schools with grades 2-5.  The Anne Hutchinson School houses all of the district-wide self-contained special education classes for those grades.  Therefore, special education costs and staffing at the Anne Hutchinson School will vary greatly from the special education costs and staffing at the Greenvale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