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officially begins in November and culminates with the annual vote in May. As soon as the budget is activated, the budget development process begins as staffing changes occur during the summer and changing student needs are assessed. This continues right up until the Board of Education adopts the budget to be presented to the voters so any changes in revenue sources or academic needs can be addressed before the budget is finalized.
</w:t>
      </w:r>
    </w:p>
    <w:p>
      <w:pPr>
        <w:ind w:left="720"/>
      </w:pPr>
      <w:r>
        <w:rPr>
          <w:rFonts w:ascii="Garamond" w:hAnsi="Garamond"/>
        </w:rPr>
        <w:t>
</w:t>
      </w:r>
    </w:p>
    <w:p>
      <w:pPr>
        <w:ind w:left="720"/>
      </w:pPr>
      <w:r>
        <w:rPr>
          <w:rFonts w:ascii="Garamond" w:hAnsi="Garamond"/>
        </w:rPr>
        <w:t>Administrators collaborate with the Superintendent and Business Official on the needs of their buildings. Special aid fund allocations and any NYS designations, as well as poverty, students with disabilities, English Language Learners, and staffing drive the budgets for each building. Immaterial dollar amounts for materials and supplies may be allocated based on building enrollment.
</w:t>
      </w:r>
    </w:p>
    <w:p>
      <w:pPr>
        <w:ind w:left="720"/>
      </w:pPr>
      <w:r>
        <w:rPr>
          <w:rFonts w:ascii="Garamond" w:hAnsi="Garamond"/>
        </w:rPr>
        <w:t>
</w:t>
      </w:r>
    </w:p>
    <w:p>
      <w:pPr>
        <w:ind w:left="720"/>
      </w:pPr>
      <w:r>
        <w:rPr>
          <w:rFonts w:ascii="Garamond" w:hAnsi="Garamond"/>
        </w:rPr>
        <w:t>The Finance Committee of the Board of Education meet regularly with the Superintendent and the Business Official to discuss the budget as it progresses while reviewing the financial state of the District, its long range financial analysis, reserve balances, and the impact of budget changes will have on these and the taxing base.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Salaries for staff at various locations will have the largest impact on per pupil spending at various buildings. Instructional staff have the contractual right to transfer 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2020-2021 will be a school year operating under extraordinary circumstances with the COVID-19 Pandemic having a monumental impact on how education operates this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