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School Business Administrator (SBA) garner direction/guidance from the Board of Education regarding ensuing school year priorities, including programmatic changes and tax cap/levy decisions in August of each school year. The Superintendent and SBA then work with principals and managers, providing direction to them in developing their budget requests/needs in September. The principals direct grade level/department chair staff to collaborate with staff under their assigned areas to provide detailed budget requests based on curricular/program need, usually in November-December for review and approval, upon which the requests are directed to the principal for review and approval, based on building and district priorities, and ultimately to the SBA in December for review and approval, including compliance with applicable laws, regulations and policy.  These approved budget requests are then used to prepare line item budgets that become part of the proposed budget presented to the Board of Education, beginning in January and continuing through March, and ultimately to the voters in May.
</w:t>
      </w:r>
    </w:p>
    <w:p>
      <w:pPr>
        <w:ind w:left="720"/>
      </w:pPr>
      <w:r>
        <w:rPr>
          <w:rFonts w:ascii="Garamond" w:hAnsi="Garamond"/>
        </w:rPr>
        <w:t>
</w:t>
      </w:r>
    </w:p>
    <w:p>
      <w:pPr>
        <w:ind w:left="720"/>
      </w:pPr>
      <w:r>
        <w:rPr>
          <w:rFonts w:ascii="Garamond" w:hAnsi="Garamond"/>
        </w:rPr>
        <w:t>Managers for Transportation, Facilities, Technology, and Food Service follow a similar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a significant number of students with disabilities or special needs, especially at the elementary level.  This has resulted in a significant number of direct care support staff assigned to individual students and/or classrooms.
</w:t>
      </w:r>
    </w:p>
    <w:p>
      <w:pPr>
        <w:ind w:left="720"/>
      </w:pPr>
      <w:r>
        <w:rPr>
          <w:rFonts w:ascii="Garamond" w:hAnsi="Garamond"/>
        </w:rPr>
        <w:t>
</w:t>
      </w:r>
    </w:p>
    <w:p>
      <w:pPr>
        <w:ind w:left="720"/>
      </w:pPr>
      <w:r>
        <w:rPr>
          <w:rFonts w:ascii="Garamond" w:hAnsi="Garamond"/>
        </w:rPr>
        <w:t>The District endeavors to retain students in district operated programs, and has among its staff a cadre of related service providers, including Occupational Therapist, Speech Pathologists, Psychologists, School Caseworkers, and Behavior Prevention Coordinators.  Out of district placements are generally entertained when students become a safety risk to themselves or others.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additional comments.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