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Building budgets are developed using current program and enrollment data as well as student success rates.  Additional costs are considered on an annual basis to address program enhancements as well as any weaknesses, if identified.    Negotiated increases for building staff as well as general and instructional supply allocations for each staff member are also a consideration in individual building budgets. The district has established a District-wide supply and equipment line to support one time building/program needs/improvements.  The district budgets in a manner to protect unanticipated enrollment and staffing changes mid-year and utilizes any yearend excess fund balance to secure reserves for the future financial stability of the district.   We work to offset increases within the budget with reductions in other areas to stay within the allowable tax levy limit calcula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