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ilding budgets are developed using current program and enrollment data as well as student success rates.  Additional costs are considered on an annual basis to address program enhancements as well as any weaknesses, if identified.    Negotiated increases for building staff as well as general and instructional supply allocations for each staff member are also a consideration in individual building budgets. The district has established a District-wide supply and equipment line to support one time building/program needs/improvements.  The district budgets in a manner to protect unanticipated enrollment and staffing changes mid-year and utilizes any yearend excess fund balance to secure reserves for the future financial stability of the district.   We work to offset increases within the budget with reductions in other areas to stay within the allowable tax levy limit calcu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