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Superintendent and the Business Manager are co-leads in the budget development process.  The Superintendent will meet with the Building Principal (we only have one), the CSE chair, and the teaching staff to discuss the needs of the students so we know what to include in the budget.  That could mean staff increases or decreases based on enrollment at the various grade levels, student needs for in and out of district placements, changes in curriculum, etc.  While we are always thinking about the budget for the following year it more formally starts the end of November or beginning of December and will typically run into mid March or early April.  Typically the budget is approved at the mid March Board meeting but sometimes will be approved in the mid April Board meeting.  There are many staff that have involvement in the budget.  Some are very involved throughout the process while others provide what the expected needs are for the following year.  Staff members include the Superintendent, the business manager, the principal, the building &amp; grounds &amp; transportation director, the CSE chair, and some teaching staff.  The Board of Education reviews the budget line by line once they are given a draft budget and compares it to historical spending taking into account one time expenditures in the past or for the future budget that is being developed.  They ask a lot of questions, will make changes to increase or decrease lines in the budget, and will decide whether to override the tax cap or not, and approve the tax levy.  The Buildings &amp; Grounds &amp; Transportation Director will represent the needs of the school buildings.  We have a bus garage and one school building for K-12.  There is no formula that is used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do run an in-house ABA program for five students in Elementary.  They all have a 1:1 Teaching Assistant.  Therefore, our costs in account 2250 might be higher than other districts that do not run this type of program.</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