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uses a "per pupil" allocation regarding items in the areas of materials, supplies, contractual, textbook, software and hardware.  Allocation of general teaching staff is done on a pupil count basis.  Class size parameters are used to determine the number of sections of each grade level that will be needed.  Allocations of special education, teaching assistants, OT/PT, counselors, AIS, reading, etc. - are all done by various needs assessment tools along with the IEP requirements.  These needs assessments are looked at district-wide and the appropriate staffing is allocated to each building.  Staffing at the secondary schools (MS and HS) will also be impacted by courses offered, based on student interests, students attending BOCES CTE programs and graduation criteria.  
</w:t>
      </w:r>
    </w:p>
    <w:p>
      <w:pPr>
        <w:ind w:left="720"/>
      </w:pPr>
      <w:r>
        <w:rPr>
          <w:rFonts w:ascii="Garamond" w:hAnsi="Garamond"/>
        </w:rPr>
        <w:t>Budgeting follows this same method.  Administration works with the Superintendent and Business Official to determine pupil counts, IEP, AIS, and other requirements to determine needs.  Recommendations are made to the board of education and based on revenues, determinations are made to create budgets.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is now the third year our district has submitted the NYS School Funding Transparency Form.  We continue to remain consistent in our per pupil spending each year.  The secondary levels - MS and HS - are higher than the elementary buildings - as would be expected given the additional staffing that is needed for course requirements, CTE, etc.  We do consistently have 1 elementary building, Hastings Mallory, that is higher than the other 3 elementary buildings.  This elementary houses 2 life skills special education classrooms that require more staffing the regular elementary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