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and the Business Official.  The Executive Director of Learning and the Special Education Director are closely consulted throughout the process, and they work closely with the Principals, Curriculum Coordinators and Grade Level Leaders to assess the needs of the District Programs.  The Business Official works closely with the Support Service team, including the Director of Transportation, Director of Buildings &amp; Grounds, the IT Director and Cafeteria Manager, to ensure the needs of the District are met.  On a perpetual basis, student performance data is analyzed, as well as demographic, socio-economic and emotional needs.  The budget development process begins in November and culminates with a budget vote in May, and if necessary, a re-vote in June.  A budget development calendar that reflects this timeline is created by the Superintendent and Business Official and approved by the Board of Education in October.  Throughout the budget cycle the Board is updated on the challenges and progress through presentations and correspondence with the Superintendent.  Ultimately, the budget is approved by the Board prior to the budget vote.  Since the District only consists of one Elementary School, one Middle School and one High School, allocation of funds does not have to be distributed between multiple schools per grade band, rather allocations of supplies and materials and contractual expenses are based on student counts and the individual goals of the building leaders.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