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Assistant Superintendent for Business, along with Building Administrators lead the budget development process,  Enrollment dictates the number of sections and/or teachers and staff necessary.  The administration and stakeholders then determine the level of educational program to be offered to be proposed to the Board of Education.  The process begins with enrollment projections in October of the previous year.
</w:t>
      </w:r>
    </w:p>
    <w:p>
      <w:pPr>
        <w:ind w:left="720"/>
      </w:pPr>
      <w:r>
        <w:rPr>
          <w:rFonts w:ascii="Garamond" w:hAnsi="Garamond"/>
        </w:rPr>
        <w:t>B.  Anyone with budget responsibility is involved in the process - Administrators, Principals, Curriculum Leaders, Team Leaders, etc.  The School Board evaluates the Administrative Budget proposal and balances all requests with the ability of the community to support the proposed budget.  Individual buildings and school sites are represented by the Principals.
</w:t>
      </w:r>
    </w:p>
    <w:p>
      <w:pPr>
        <w:ind w:left="720"/>
      </w:pPr>
      <w:r>
        <w:rPr>
          <w:rFonts w:ascii="Garamond" w:hAnsi="Garamond"/>
        </w:rPr>
        <w:t>C.  The district uses a formula for a very small portion of the budget - classroom supplies, equipment and contracted services (less than 1% of the overall budget).  The requests for these items are rarely ever cut during the budget process as most of the costs are based in personnel.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COVID 19 shut down led to some anomalies in how money was spent compared to prior years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