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All FTE's and related benefits are centrally budgeted for and allocated based on student enrollment and mandated services. Buildings are allocated a per pupil amount based on projected enrollment and considered historical per pupil spending.  Equipment allocations are developed using a zero-based budget methodology considering standard replacement plans and program needs.  This zero-based budget approach for equipment excludes classroom furniture and instructional technology - both of which are centrally budgeted for.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Brighton High School is greater due to the allocation of funding for extracurricular activities such as athletics, and student clubs.  In addition, spending on staffing for pupil services is greater due to higher demand for counseling and mental health supports.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