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All FTE's and related benefits are centrally budgeted for and allocated based on student enrollment and mandated services. Buildings are allocated a per pupil amount based on projected enrollment and considered historical per pupil spending.  Equipment allocations are developed using a zero-based budget methodology considering standard replacement plans and program needs.  This zero-based budget approach for equipment excludes classroom furniture and instructional technology - both of which are centrally budgeted for.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Per pupil spending at Brighton High School is greater due to the allocation of funding for extracurricular activities such as athletics, and student clubs.  In addition, spending on staffing for pupil services is greater due to higher demand for counseling and mental health supports.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