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Bellmore-Merrick CHSD's budget process advances the interest of students and educational program needs. The District's projected enrollment drives the budget development process in determining the proper staffing levels in each building. Program initiatives for the upcoming year are determined based on the goals and objectives of the Board of Education. Once the educational program is agreed upon, expenditures levels are projected for all functional areas taking into account spending levels from the prior and current fiscal years. Estimates of cost increases are based on various factors. Enrollment helps determines staffing needs for each building (i.e. teaching, administrative and support staff), as well as the allocation of textbooks and instructional supply monies. Facility needs are also assessed for each building and taken into account as the budget is developed. Each year, the main goal is for the annual operating budget to effectively express and allow for the implementation of programs and activities that are aligned with School Board goals and objectives. It is developed in accordance with School Board policy and New York State Education Department guidelines. The budget development process is lead by the Board of Education, Superintendent and Assistant Superintendent for Business. While the budget process is nearly a year round process involving participation of various stakeholders, the process runs its true course from October through April with various public presentations, Budget committee meetings and a Public Hearing.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Each building contains special education classes. Because it is economically prudent to concentrate special education programs together, the District's highly effective special education programs are concentrated in Calhoun High School. The Calhoun budget reflects the increased costs of teaching, paraprofessional and support staff to support the needs of the Special Education Program.</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