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leads the budget development process with assistance from the Business Manager.    The needs of the students are communicated by staff and administration throughout the budget process and these needs are presented to the Board of Education during the process along with the associated costs.   The budget development process begins in late October and goes through early April.    B) Principals and staff are all involved through budget meetings at each grade level and department to express their needs.   The school board makes decisions on programs to include and exclude based on the information presented and the financial impact.    Our district is one building - K-12 building.  C) There is no formula used to allocated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Junior/Senior High School is higher per pupil than the Elementary.   The costs associated with athletics and extracurricular activities/stipends is assigned to the high school as the elementary school does not participate in these activities.   Also, being a small school, some of the electives offered in the high school can have small class sizes (4 to 6 participants) as compared to the average class size in the elementary (14 to 16 participants).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