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led by the Superintendent, Assistant Superintendent for Business, Facilities and Operations, and the Budget Committee, which is made up of two Board of Education members.  The budget process is based on the projected student enrollments, class size, needs of special education students, district educational initiatives, and staffing needed to support the educational program.   
</w:t>
      </w:r>
    </w:p>
    <w:p>
      <w:pPr>
        <w:ind w:left="720"/>
      </w:pPr>
      <w:r>
        <w:rPr>
          <w:rFonts w:ascii="Garamond" w:hAnsi="Garamond"/>
        </w:rPr>
        <w:t>The budget development process begins in late Fall as enrollment projections are updated and continues through April.  Initial discussions are held with Building Principals and the Assistant Superintendent for Pupil Personnel Services followed by a number of meetings in order for them to develop and submit their budgets in late December/early January based on student needs, class sizes, and other instructional supports.  The Assistant Superintendent for Curriculum and Instruction works with the various building principals and curriculum leaders to assess curriculum, professional development, and staffing needs.  Additionally, meetings with the Director of Facilities and Transportation, Director of Technology, and the Athletics Director are held to discuss the various needs surrounding facilities, transportation, technology, and athletics followed by each of their budget submissions.  Larger expense items such as pension system contributions, FICA, health insurance, and other benefits are budgeted by the Assistant Superintendent for Business, Facilities, and Operations.  Discussions on the revenue side of the budget are held between the Superintendent, Assistant Superintendent for Business, Facilities and Operations, Board of Education, and the Budget Committee.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