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oard of Education and Administrative Team lead the Budget Development process. Each year the two buildings are allocated a set dollar amount based on historical spending patterns.  The building Principals are responsible for determining how the money will be divided between the grade levels and classrooms based on need.  The budget development process is ongoing all year, but typically formally begins in October until the May budget vote.                                                                                             B. Board of Education, Administrative Team, and Department Supervisors are all involved in the budget development process. The Board of Education provides guidance on the parameters and are routinely advised and updated throughout the process. The Principals represent their respective buildings.              C. There is no formula for allocating funds to each building, but the historical costs and upcoming year needs are considered during allo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