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makes decisions regarding the allocation of resources based on the needs of its students, staff and buildings.  Annually the District engages in updating its multi-year long-range plan, which is a valuable tool used to provide insight for the board of education to make critical long-term decision, in order to ensure fiscal stability to protect, preserve, and enhance the integrity of the instructional program for students, development of higher performing staff and maintain the district's assets and infrastructure. These projections guide the District in determining the resource allocation necessary to support students in each building based on their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primary difference in the District's per pupil allocation is related to the number of students with disabilities that are served in each of the buildings, and the type of classes and services provided.  Two of the elementary schools serve a greater population of students in both self contained classrooms with a staffing ratio of 8:1:2, and integrated co-teach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