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During the budget process funding for textbooks, supplies and materials for Art, Music, and Athletics are allocated to the schools on a per pupil basis using the next year’s projected enrollment. Contractual services are budgeted on the basis of continuing needs. Other expenses for BOCES, administrative expenses, debt, salary, benefits, and other district wide codes are budgeted by the business office using estimated expenses and prior year actuals.  Special Education and ELL expenses are budgeted by the PPS office using individual student projected expenses.  This is reflected in both the required staffing levels at the respective buildings as well as in any needed out-of-district program expenses. Building budgets, Transportation, Facilities, Personnel, Board of Ed, Curriculum and Instruction, are all budgeted by the respective administrator in charge, based on a review of projected expenses with reference to prior year’s actual expenses. For most department the 2019-20 budget was built on a zero-based budgeted process. The school buildings are provided a total amount “guide” that is on a per pupil basis with adjustments annually for enrollment changes as well as a CPI increase. Any recommendations for new programs and/or changes in staffing levels are submitted to the Deputy Superintendent.  These changes are reviewed with the district cabinet with recommendations ultimately being made to the Board of Education. All equipment requests are accompanied by detailed information in the budget code which specifies if it is new or replacement equipment and, if replacement, a description of what it is replacing.  Salaries and benefits increases are based on contractual obligations with modifications for any known specific changes in personnel (i.e. a retirement).  From an overall budgeting perspective the major controls regarding the overall framework of the budget include: the NYS tax cap, the projected state aid (initially based on the governor’s budget and ultimately the budget approved by the legislature) as well as a sustainable inclusion of savings (fund balance and/or reserves).  We continue to make a concerted effort again to develop a budget that minimizes any variance from the actual expenditures while at the same time including monies for unknown contingencies.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Nothing unique about certain schools however our neighborhood model (6, small, K-3 buildings) does result in significant sharing of support staff (PPS and SPED) across buildings.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None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