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has no formula in place to allocate to the four schools in the district.  The district allocates funds based on the district initiatives, educational programs, student enrollment and needs of students estimated on previous years spending and projected changes staff and new initiatives.  Each Year around early January, the Superintendent and Business Administrator sits down with the Administrative team on an individual basis to access what changes have happened over the past 12 months. Programs and staff are reviewed. Class sizes are reviewed and tracked from year to year to adjust for an exceptionally small or large class. Recommendations are made to what budget lines could be reduced and what funding the building level administration would like to see added to make their programs stronger. All budget lines are looked at by comparing actual expenditures to budget for the last 3 to 5 years.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The Board has a finance committee that meets monthly year-round to help direct the decisions being made.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If a history teacher were to retire it may make funding available for a reading teacher to be hired.  This may change the staffing level across buildings.  The district has a very transient population with high needs.  It is necessary to allow for a high number of students to move into the district and receive services.  It is hard to predict at a building level what the increases will be so this is budgeted on a district wide level.  Most special needs services are purchased through the BOCES.  A high percentage of the hardware such as computers and xerox machines are leased through BOCES to generate a consistent aid stream. This helps to maximize the use of the districts funding and is budgeted on a building wide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