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has no formula in place to allocate to the four schools in the district.  The district allocates funds based on the district initiatives, educational programs, student enrollment and needs of students estimated on previous years spending and projected changes staff and new initiatives.  Each Year around early January, the Superintendent and Business Administrator sits down with the Administrative team on an individual basis to access what changes have happened over the past 12 months. Programs and staff are reviewed. Class sizes are reviewed and tracked from year to year to adjust for an exceptionally small or large class. Recommendations are made to what budget lines could be reduced and what funding the building level administration would like to see added to make their programs stronger. All budget lines are looked at by comparing actual expenditures to budget for the last 3 to 5 years.  Each salary line is increased to account for contractual increases. Benefits lines are increased to accommodate for salary increases and projected TRS and ERS increases along with insurance premium increase. These projected increases are changed as more information comes available. The Board has a finance committee that meets monthly year-round to help direct the decisions being made. As the final State Runs are made available the over all needed additions and reductions will be reassessed and the budget is adjusted to balance the expenditures and revenues according to the direction given by the Board. Staffing levels will be adjusted, and retirements and resignations will be constantly reviewed for adjustments to any need to reduce staffing level or potentially add. If a history teacher were to retire it may make funding available for a reading teacher to be hired.  This may change the staffing level across buildings.  The district has a very transient population with high needs.  It is necessary to allow for a high number of students to move into the district and receive services.  It is hard to predict at a building level what the increases will be so this is budgeted on a district wide level.  Most special needs services are purchased through the BOCES.  A high percentage of the hardware such as computers and xerox machines are leased through BOCES to generate a consistent aid stream. This helps to maximize the use of the districts funding and is budgeted on a building wide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