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allocation to each school is made up on various factors.  Salaries are based on student population and need but these salaries may vary depending upon how long an employee has been in the District. Most other expenses are also based on student population but at times more funds maybe allocated to a particular school because of various individual school improvements.  For example, we may allocated additional  funds to the elementary schools because we are implementing a particular program like a Kinesthetic Lab  or allocate funds to the Middle school for furniture because we are finishing a renovation project in that particular building.  Special Education cost may also vary from building to building because need may be greater in one building over another. Overall, being a fairly wealthy district, we  do our best to budget fairly throughout all of our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Middle School is higher because of budgeting for materials and supplies for the new Media Center, office and home economics room.  These expenses will be reduced in 2020-21.  The High School has a lower average than the rest of the school because we had many retirements from the building and the current staff is younger and are paid less than senior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