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allocation to each school is made up on various factors.  Salaries are based on student population and need but these salaries may vary depending upon how long an employee has been in the District. Most other expenses are also based on student population but at times more funds maybe allocated to a particular school because of various individual school improvements.  For example, we may allocated additional  funds to the elementary schools because we are implementing a particular program like a Kinesthetic Lab  or allocate funds to the Middle school for furniture because we are finishing a renovation project in that particular building.  Special Education cost may also vary from building to building because need may be greater in one building over another. Overall, being a fairly wealthy district, we  do our best to budget fairly throughout all of our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Middle School is higher because of budgeting for materials and supplies for the new Media Center, office and home economics room.  These expenses will be reduced in 2020-21.  The High School has a lower average than the rest of the school because we had many retirements from the building and the current staff is younger and are paid less than senior staff.</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