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Union-Endicott funds are allocated focusing on a variety of factors. Allocations to each school are based on student population and class size ratios, which are outlined by the teacher contract.  Special education allocations are based on students with disabilities enrollment and IEP services.  ELL allocations are based on required services per SED.  Title I funding is allocated to each school based on per-pupil amount.  611 and 619 funding are based on students with disabilities programming and services at each of the buildings.  Community schools funding is allocated district-wide, with one FTE being shared among the four elementary schools, one at the middle school and one at the high school.  Other grant funding is specific to the funding allocations outlines by NYS Education Department.  Each year, the central office administration meet with building leaders to review current data and develop a list of needs for academic needs and programs that would benefit the progress of district students.  The budget is reviewed with each of the building leaders looking for consistency and any special needs that may have surfaced.  Working closely with the accountant and the BOCES Central Business Office, a draft budget is prepared and shared through a series of budget workshops with the Board of Education.  As the allocations are finalized from NYS, the Board makes a final decision on the budget and sends it to the community for the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LWW "Tiger Ventures" is a unique school, just 3 years old, that houses grades 8-12 as a nontraditional high school.  It has a very low enrollment by design to maximize instruction.  Due to this small student body, and the special services some of them require, the cost per pupil is higher than the other district schools.  In addition, this year, the decision was made to transfer the three 12:1:1 classes that were in the elementary wing to another elementary school in district and use the wing to house outside UPK and BOCES Crossroads programming.  Some other variances in the per pupil expenditures are related to the number of new teachers hired at the school costing less than veteran teachers.  One building has all the K-5 ENL program housed at their site, while two other buildings have the K-3 and 3-5 12:1:1 programs.  These programs have a variance of cost to them including the need for specialized teachers and service provid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is is not applicabl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