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Troy CSD does not have a specific local formula for allocating funding to each school building.  The District is comprised of 8 buildings – five elementary, one middle school, one high school, and one alternative program.  In addition, the District budgets programmatic services of information technology (IT), special programs, buildings and grounds, athletics, and central/business office services.  Each building/program begins their budgets in late fall. Budget requests are presented to district cabinet members, comprised of the Superintendent, Assistant Superintendents, and HR Director.  A list of program academic priorities is developed.  Certain academic and programming needs are developed based upon current performance indicators, while others are district-wide initiatives.  Once the State Budget is passed the District then finalizes any budget changes with building leaders prior to official adoption by the BOE, and presentation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Troy CSD receives certain building specific grants, such as at School 2 or Troy Middle School 21st Century Program that increases the per-pupil allocations.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