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Describe the local methodology/approach used to allocate funds to each school in the district during the process of budget development and implementation. If schools are allocated funds—either in part or in full—through a formula, outline the nature/mechanics of the formula and the elements impacting each school’s allocation. In addition, explain any non-formulaic elements impacting each school’s allocation. (Please note that this question asks about the district’s budget process, not about how the district completed the New York State School Funding Transparency Form.)</w:t>
      </w:r>
    </w:p>
    <w:p>
      <w:pPr>
        <w:ind w:left="720"/>
      </w:pPr>
      <w:r>
        <w:rPr>
          <w:rFonts w:ascii="Garamond" w:hAnsi="Garamond"/>
        </w:rPr>
        <w:t xml:space="preserve">Each of our four buildings are separated by grade levels with Colden Elementary &amp; Springville-Griffith Elementary Schools housing grades K-5.  These buildings are separated geographically by 15 miles.   In addition, we have Springville-Griffith Middle School for grades 6-8 and Springville- Griffith High School for Grades 9-12.  Individual building funding is established based on total enrollment for the building as well as a historical trend analysis.   We have successfully managed equity of funding by having an in-depth knowledge of each budget line as well as making necessary adjustments to re-align budget codes where necessary i.e., additional special education students moving into the district on August 15.  For personnel expenses, we place the appropriate teacher with appropriate skills at the grade level they best match up with, regardless of the cost of the employee.  For employees who are spread across multiple buildings, they are coded to a district wide expense code and then broken down by their FTE into each building they serve.  We do this in order to comply with SED BEDS and CRDC reporting.  
</w:t>
      </w:r>
    </w:p>
    <w:p>
      <w:pPr>
        <w:ind w:left="720"/>
      </w:pPr>
      <w:r>
        <w:rPr>
          <w:rFonts w:ascii="Garamond" w:hAnsi="Garamond"/>
        </w:rPr>
        <w:t>Our local methodology and rationale for school level funding determinations for salaries is based on actual salaries associated with the different buildings. For other categories amounts are distributed by enrollment for each building.</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 </w:t>
      </w:r>
    </w:p>
    <w:p>
      <w:pPr>
        <w:ind w:left="720"/>
      </w:pPr>
      <w:r>
        <w:rPr>
          <w:rFonts w:ascii="Garamond" w:hAnsi="Garamond"/>
        </w:rPr>
        <w:t xml:space="preserve">We have one elementary school, Colden Elementary, that only has 145 students enrolled in it.  This building houses grades K-5.  Conversely, our Springville Griffith Elementary School houses                                    .</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 beyond the Excel entry. </w:t>
      </w:r>
    </w:p>
    <w:p>
      <w:pPr>
        <w:ind w:left="720"/>
      </w:pPr>
      <w:r>
        <w:rPr>
          <w:rFonts w:ascii="Garamond" w:hAnsi="Garamond"/>
        </w:rPr>
        <w:t xml:space="preserve">There are no known anomalies other than what has been previously discussed in items 1 and 2 above.</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