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Each of our four buildings are separated by grade levels with Colden Elementary &amp; Springville-Griffith Elementary Schools housing grades K-5.  These buildings are separated geographically by 15 miles.   In addition, we have Springville-Griffith Middle School for grades 6-8 and Springville- Griffith High School for Grades 9-12.  Individual building funding is established based on total enrollment for the building as well as a historical trend analysis.   We have successfully managed equity of funding by having an in-depth knowledge of each budget line as well as making necessary adjustments to re-align budget codes where necessary i.e., additional special education students moving into the district on August 15.  For personnel expenses, we place the appropriate teacher with appropriate skills at the grade level they best match up with, regardless of the cost of the employee.  For employees who are spread across multiple buildings, they are coded to a district wide expense code and then broken down by their FTE into each building they serve.  We do this in order to comply with SED BEDS and CRDC reporting.  
</w:t>
      </w:r>
    </w:p>
    <w:p>
      <w:pPr>
        <w:ind w:left="720"/>
      </w:pPr>
      <w:r>
        <w:rPr>
          <w:rFonts w:ascii="Garamond" w:hAnsi="Garamond"/>
        </w:rPr>
        <w:t>Our local methodology and rationale for school level funding determinations for salaries is based on actual salaries associated with the different buildings. For other categories amounts are distributed by enrollment for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We have one elementary school, Colden Elementary, that only has 145 students enrolled in it.  This building houses grades K-5.  Conversely, our Springville Griffith Elementary School houses                                    .</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There are no known anomalies other than what has been previously discussed in items 1 and 2 above.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