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uses a variety of data to craft the school budget, in terms of reviewing historical trends on spending across major categories of expense in total, and by building/department; revenue projections and actual receipts, Budgeted expense vs. actual expense, and collecting input from our building and departmental leaders on the their needs for the following year. Using multiple sources of data and analyses, and garnering a variety of perspectives on needs for the following year based on program, enrollment changes, demographics of students, new initiatives and/or staffing changes allows the district to take a holistic approach to crafting a budget that serves the needs of our buildings and departments, but also is crafted within the context of historical and future trends. Further, if there are new State and/or Federal mandates and/or State Aid changes, we incorporate these items into our planning and analyses. Mandates and contractual obligations (i.e. collective bargaining agreements), contributions to retirement systems, and benefits make up approximately 85% of our total budgetary dollars, leaving only a small portion of budgetary dollars at our discretion. Parallel to the single year budget development process, we work to update our strategic plan which incorporates our long range financial plan, educational plan, and capital plan to ensure alignment and connectivity to our district goals.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