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uses a variety of data to craft the school budget, in terms of reviewing historical trends on spending across major categories of expense in total, and by building/department; revenue projections and actual receipts, Budgeted expense vs. actual expense, and collecting input from our building and departmental leaders on the their needs for the following year. Using multiple sources of data and analyses, and garnering a variety of perspectives on needs for the following year based on program, enrollment changes, demographics of students, new initiatives and/or staffing changes allows the district to take a holistic approach to crafting a budget that serves the needs of our buildings and departments, but also is crafted within the context of historical and future trends. Further, if there are new State and/or Federal mandates and/or State Aid changes, we incorporate these items into our planning and analyses. Mandates and contractual obligations (i.e. collective bargaining agreements), contributions to retirement systems, and benefits make up approximately 85% of our total budgetary dollars, leaving only a small portion of budgetary dollars at our discretion. Parallel to the single year budget development process, we work to update our strategic plan which incorporates our long range financial plan, educational plan, and capital plan to ensure alignment and connectivity to our district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