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budgeting process per school is heavily contingent on the staffing, and staffing needs required for each building. In addition, building principals are charged with developing a budget, that is presented to the Superintendent's cabinet and Board of Education, justifying all non-personnel expenses (e.g. textbooks, resource books, supplies, equipment, etc.). Based on enrollment, present staffing, assignments, and either new staff or attrition, are amounts per building determined in the budgeting process, since staff salaries are paid on a per-building basis, and constitute the majority of a building's expenses.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As enrollment is the primary driver for staffing and non-personnel expenditure needs, one building may have higher per-pupil expenditures than others. Furthermore, a particular building may contain a greater number of veteran teachers than others, boosting personnel costs in a particular location, and thus increasing the per-pupil expenditure per building. Last, the concentration of special-education student assigned to a particular building in any given year, based on their geographic zone, may also lead to a difference in per-pupil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 charges additional period expenses (teachers covering for others when a substitute is not available) to the respective building code. It is not uncommon that one building's absences exceed others, based on the number of teaching staff present in a building and the number of available substitutes, which is minimal.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