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budgeting process per school is heavily contingent on the staffing, and staffing needs required for each building. In addition, building principals are charged with developing a budget, that is presented to the Superintendent's cabinet and Board of Education, justifying all non-personnel expenses (e.g. textbooks, resource books, supplies, equipment, etc.). Based on enrollment, present staffing, assignments, and either new staff or attrition, are amounts per building determined in the budgeting process, since staff salaries are paid on a per-building basis, and constitute the majority of a building's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As enrollment is the primary driver for staffing and non-personnel expenditure needs, one building may have higher per-pupil expenditures than others. Furthermore, a particular building may contain a greater number of veteran teachers than others, boosting personnel costs in a particular location, and thus increasing the per-pupil expenditure per building. Last, the concentration of special-education student assigned to a particular building in any given year, based on their geographic zone, may also lead to a difference in per-pupil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charges additional period expenses (teachers covering for others when a substitute is not available) to the respective building code. It is not uncommon that one building's absences exceed others, based on the number of teaching staff present in a building and the number of available substitutes, which is minimal.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