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Schools receive a per pupil allocation in which the Principal has discretion as to how to be spend.  Items can include classroom materials, student activities, field trips, technology.  Instructional materials aid is allocated to the buildings based upon enrollment; however, we do allow transfer of monies should the needs the schools require. In addition, the District relies on a building needs index (1 to 4) to identify schools within the district to assist in reallocation of resources.  In the 2019-20 budget, we weighted the monies received by the schools depending upon their rating.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Seniority of staff and the corresponding higher wages according to the collective bargaining agreement.  We have have some schools which have more intensive special education classrooms so the costs are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