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Schools receive a per pupil allocation in which the Principal has discretion as to how to be spend.  Items can include classroom materials, student activities, field trips, technology.  Instructional materials aid is allocated to the buildings based upon enrollment; however, we do allow transfer of monies should the needs the schools require. In addition, the District relies on a building needs index (1 to 4) to identify schools within the district to assist in reallocation of resources.  In the 2019-20 budget, we weighted the monies received by the schools depending upon their rating.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Seniority of staff and the corresponding higher wages according to the collective bargaining agreement.  We have have some schools which have more intensive special education classrooms so the costs are higher.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