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use an allocation method to fund each school within the District.  During the budget development process, each school submits their requested staffing levels, as well as supplies and other instructional needs pursuant to existing programs within each building.  Each building stands as a separate budget entity in establishing the necessary funds for the subsequent school year.  The budget is then compiled and presented to the Board of Education for review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Sayville’s Lincoln Avenue Elementary School contains our Special Education PALS Program (life skills).  Therefore, the Special Education costs associated with Lincoln Avenue would invariably be higher than our other elementary schools.  In addition, our Sunrise Drive Elementary School contains nine sections of Special Education special classes; therefore, this building’s total per pupil funding is higher than the total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