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building process is a comprehensive one that utilizes a number of approaches. All work begins by first projecting all anticipated revenue to determine what can be supported within the constraints of the tax cap. Initially all staff are rolled forward and it is presumed they will begin the following year in the building they completed the past year in. Certainly, adjustments are made, retirements are accounted for, and programmatic shifts result in some adjustments along the way. Student supplies and materials, textbooks, library books, office supplies, and other consumables are allocated to buildings based on enrollment projections. Principals and Directors are asked for input, and additional funds may be allocated as deemed appropriate. Capital projects and normal renovations/repairs/maintenance type projects are determined based on priority, the Building Condition reports, administrator requests, and architect/engineer recommendations. Equipment is also determined by a prioritized need or appropriate replacement cycle. This narrative just represents a brief overview of the process, and additional details can be provided based on specific questions. Please feel free to reach out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Variances in per pupil spending can be caused by a number of factors, including: seniority of particular staff assigned in a building; the programs that might be housed in a building i.e. Special Education or ENL hubs; a particular initiative or cyclical expenditure in a given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