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There is no formula that the District uses for allocating resources/funds to each of its schools. The District uses zero-based budgeting at each of its five buildings. Each building principal is given a budget workbook mid-Fall and he/she works collaboratively with teachers and curriculum specialists to develop the building program requests for materials and supplies (200-520 appropriation object codes).  In January, once initial State Aid projections are released, Central Administration meets with each building principal to determine the feasibility of the building plan and approve/disapprove/modify the Building Spending Plan.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central administration's collaboration with buildings in January, these requests for additional staff are also reviewed in light of State Aid projections.
</w:t>
      </w:r>
    </w:p>
    <w:p>
      <w:pPr>
        <w:ind w:left="720"/>
      </w:pPr>
      <w:r>
        <w:rPr>
          <w:rFonts w:ascii="Garamond" w:hAnsi="Garamond"/>
        </w:rPr>
        <w:t>From these meetings, the first draft of the budget is developed, each building having adequate staffing and resources for its program.  If State Aid projections allow, each building principal will have the optimal program that he/she believes best serves the students in the building, as developed by the building team.  The first draft of the Budget is then presented to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Middle School has a significant allocation of academic improvement personnel.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