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There is no “formal” formula that the district uses to annually determine budgetary and revenue allocations. The District is comprised of 10 School Buildings, Pre-k, K-6, Middle School and a High School. The District’s current budgeting and funding practices encourage shared decision making and planning at the local level by all stakeholders including administrators and faculty. Each building begins budget development in the late fall with a review of projected enrollment and anticipated needs, both staffing and otherwise. As the budget process develops, particularly through the process of NYS budget for state aid, programs and initiatives are prioritized culminating in a final proposed budget for official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Additional time to analyze would be needed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