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Rocky Point School District has historically used enrollment and instructional staffing figures at each school to determine the allocation of funds.  Other major factors that are considered are the varied needs within the school population at each building for the year.  These needs include, but are not limited to: Special Education services; number of new language learners; academic intervention service statistics; gifted and AP programs.  Master scheduling and the number of non instructional staff per building are a consideration as well.  The process for budgeting materials, supplies, equipment, software, textbooks, and contractual services is primarily based on the same parameters as listed previously.   Budget data is requested from staff in the fall of the prior year.  The requests are made at the departmental level.  All expenditures must be justified with appropriate specific information and supporting documentation if necessary.   Requests from individuals are submitted to District Office as a proposed building budget.  The data is reviewed and adjusted as it is collected from all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