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District’s methodology for allocating Federal, State, and local funds is based on projected enrollment at each school, personnel count and their expenditures, school programs, guidelines from the Board of Education and Superintendent of Schools, mandates and other legal requirements from authorities. Classroom staffing positions are allocated based on NYSED requirements, bargaining unit’s requirements, as well as additional needs of the school as determined by the school classification level. Operating dollars are allocated based on a basic amount for all students, plus additional funding for SWD, ELL students, and an amount for elementary school lunchroom monitors.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District is targeting Comprehensive Support and Improvement (CSI) schools and Targeted Support and Improvement schools to ensure these schools are adequately resourced to improve their performance. There are 21 Comprehensive Support and Improvement (CSI) schools formally known as receivership schools and 13 Targeted Support and Improvement schools formally known as focus schools. Adlai E. Stevenson School #29 has a special program that caters specifically to students with autism. RISE Community School is a newly created turnaround program that focus on innovation. The East Lower and High Schools is under a special Educational Partnership Organization (EPO) arrangement with the University of Rochester which has been approved by the NYS Education Department. This arrangement added additional funding to the East. The District offers special programs for preschool students at Jefferson Campus and Rochester Early Childhood Center.  All City High is a non-traditional program school that offers students in grades 10-12 between the ages of 17-21 years old an opportunity to get caught up on high school credits and in some cases accelerate graduation. The Rochester International Academy provides newly arrived English language learners with an instructional program that simultaneously facilitates acquisition of the English language, content knowledge, and academic skills. The Bilingual Language and Literacy Academy serves students from hurricane-affected areas in grades one through twelve.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Rochester City School District is a high-need district, as evidenced by its overall student poverty rate in excess of 88% (as determined by free and reduced-price lunch eligibility). In addition, 22% of the RCSD student population are students with disabilities, and 15% are English Language Learners.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