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District’s budget planning process begins with presentations by each principal and subject area director to the central administration.  These presentations outline the programmatic needs that the building and subject area administrators envision for their programs for the coming year.  These meetings are generally held on an individual basis giving each building and subject area administrator a private forum to make his or her case for the needs of the building or program.  Following these meetings, the central administration prioritizes the requests and balances the individual proposals with the overall fiscal ability of the District.  The programs are balanced with an eye to making sure that the District is offering consistent and equal opportunity to students across the grade levels despite the fact that students in grades K through 4 attend one of four elementary schools.  The central administration then packages these proposals for presentation to the Board of Education, which can accept, reject or revise the proposals as they see fit.  The central administration will often ask the building and subject area administrators for additional information or to ask said administrators to revise proposals that are either unaffordable as proposed or inconsistent with the Board of Education’s goals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Phillips Avenue Elementary School has teachers that are mostly at the beginning of their careers while Riley Avenue Elementary School has teachers that are mostly at the end of their careers.  Additionally, high needs special education classes are found at Riley and Aquebogue elementary schools while Phillips and Roanoke elementary schools do not house any high needs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seeks to ensure balance wherever realistically possible to ensure that students across the District, regardless of their residence, have the same opportunities as their peers.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