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We allocate teachers based on the enrollment in each grade with a minimum of two classes per grade.  School are given supplies, textbooks and classroom equipment, including computers,  based on enrollment.  We also allocate funds based on building issues including safety projects. Special Education costs are based on student needs and the specific grade level programs in each school. Sometimes children are moved outside of their elementary attendance zone.  We also look at the needs of the specific children in elementary including ELL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at two of our elementary schools there are several factors contributing to the higher spending than the District average. 
</w:t>
      </w:r>
    </w:p>
    <w:p>
      <w:pPr>
        <w:ind w:left="720"/>
      </w:pPr>
      <w:r>
        <w:rPr>
          <w:rFonts w:ascii="Garamond" w:hAnsi="Garamond"/>
        </w:rPr>
        <w:t>
</w:t>
      </w:r>
    </w:p>
    <w:p>
      <w:pPr>
        <w:ind w:left="720"/>
      </w:pPr>
      <w:r>
        <w:rPr>
          <w:rFonts w:ascii="Garamond" w:hAnsi="Garamond"/>
        </w:rPr>
        <w:t>At Cherry Lane elementary school declining enrollment has lowered the number of students.  At the same time, we have added two self-contained special education classes for students with significant communication issues.  These classes are staffed with a teacher, teaching assistant and several aides, for a small number of students, thus a higher average expenditure. 
</w:t>
      </w:r>
    </w:p>
    <w:p>
      <w:pPr>
        <w:ind w:left="720"/>
      </w:pPr>
      <w:r>
        <w:rPr>
          <w:rFonts w:ascii="Garamond" w:hAnsi="Garamond"/>
        </w:rPr>
        <w:t>
</w:t>
      </w:r>
    </w:p>
    <w:p>
      <w:pPr>
        <w:ind w:left="720"/>
      </w:pPr>
      <w:r>
        <w:rPr>
          <w:rFonts w:ascii="Garamond" w:hAnsi="Garamond"/>
        </w:rPr>
        <w:t>At Sloatsburg elementary declining enrollment, geography and student needs influence the staffing of the school.  Because of the the geographic location of the school in relation to our other buildings, it is necessary to staff 1.0 FTE principal, nurse, psychologist and other clinical staff to meet student needs.  This building is also designated as a Title I school, and thus receives supplemental funding in that manner.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