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Salaries are allocated to the appropriate building across the district. Allocations that are made by building such as materials and supplies are distributed based on enrollment numbers to provide equitable distribution of the funds.  Some of the program costs are assigned to specific buildings because they only originate in a particular location.  A number of these examples exist across the district but one in particular is our BOCES Career and Tech student costs are only a high school expense, so they are only assigned to the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