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process utilized is zero based. Each year during the budget development process, multiple stakeholders are engaged to examine current and future district goals. District level administrators determine the allocation necessary to support student achievement, outcomes, state mandates, and district goals. These are then submitted to the business administrator and superintendent who determine priorities during the budget process through engagement with the Board of Education. When examining district goals, we determine how to achieve goals and what resources are necessary (staffing, materials, equipment, transportation, infrastructures).  All grade levels and program areas for each building are evaluated in this process, once revenue for the upcoming year is determined by state aid and the ability to raise taxes if necessary, the revenue is allocated to support the identified goals during the aforementioned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