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uses a budget development process that builds on the previous year's building or department budget.   We have not used any specific formula for allocating funds district wide except the 100% state reimbursable expenses for textbooks, library materials, software, and hardware, which are allocated to each building as per their enrollment dictates.   All other budget allocations are built on the previous year's allocation by building or department with the building administrator or director given the latitude to reallocate dollars within their building or department budgets.   Orchard Park has not established a per student allocation because of the different needs and costs associated with the different types of classes and programs within each of the buildings.   Because budgets are tight with the tax cap and minimal state aid increases year-to-year, we have reallocated funds, if needed, between buildings or departments instead of adding more dollars to the budget on a per pupil amount across the board.   This way we have the flexibility to redistribute budget dollars to the building/department it is needed on an annual basis without committing specific minimum allocations on a per student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Windom Elementary's allocation per student ends up being a little higher because they are our only Title I school.   They receive extra funding for that.   
</w:t>
      </w:r>
    </w:p>
    <w:p>
      <w:pPr>
        <w:ind w:left="720"/>
      </w:pPr>
      <w:r>
        <w:rPr>
          <w:rFonts w:ascii="Garamond" w:hAnsi="Garamond"/>
        </w:rPr>
        <w:t>
</w:t>
      </w:r>
    </w:p>
    <w:p>
      <w:pPr>
        <w:ind w:left="720"/>
      </w:pPr>
      <w:r>
        <w:rPr>
          <w:rFonts w:ascii="Garamond" w:hAnsi="Garamond"/>
        </w:rPr>
        <w:t>South Davis is a little higher because they are our smallest building.   We have the same administrative and office structure there as the other elementary buildings, and also class sizes tend to be a little smaller to make sure we stay within the Board of Education's class size guideline caps.   So when funding per pupil is calculated, it will naturally be a little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