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in an equitable manner to provide all students the opportunity and necessary support to engage in relevant, challenging work which contributes to their academic and social growth and development.
</w:t>
      </w:r>
    </w:p>
    <w:p>
      <w:pPr>
        <w:ind w:left="720"/>
      </w:pPr>
      <w:r>
        <w:rPr>
          <w:rFonts w:ascii="Garamond" w:hAnsi="Garamond"/>
        </w:rPr>
        <w:t>
</w:t>
      </w:r>
    </w:p>
    <w:p>
      <w:pPr>
        <w:ind w:left="720"/>
      </w:pPr>
      <w:r>
        <w:rPr>
          <w:rFonts w:ascii="Garamond" w:hAnsi="Garamond"/>
        </w:rPr>
        <w:t>In addition, the district took into consideration many other factors and variables in developing the 2019-20 school-level budgets as follows.  Staffing is the greatest consideration as the district's student population continues to grow.  In fact, the K-12 population has grown by more than 500 students or 10% in the past five years.  Therefore, staffing levels are carefully considered and anticipated to the extent possible to maintain acceptable class-size, meet the needs of special education students per IEP requirements, provide the necessary services to a growing ELL student population,  and provide AIS services to ensure student success.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Southgate elementary houses special education programs for students throughout the district who have multiple disabilities including physical disabilities that require a 1:1 nurse.  The student to teacher ratio for special education classrooms is also lower than other schools due to the level of needs for students in this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