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use a formula to allocate funds to the 7 schools that we have. The building principals and directors meet with the Deputy Supt. for Business to go over their plan and needs for the following school year. Staffing needs are also done with the Assistant Supt for Personnel and the Superintendent. Once all the figures are rolled up and analyzed including State aid and our tax cap number we will have numerous presentations to the Board of Education and the community. Unfortunately the tax cap has driven the budget process since there are many programs that we would like to initiate we can not go over the CAP.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