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FUNDING ALLOCATIONS ARE BASED ON NUMBER OF STUDENTS AND NEEDS OF THE BUILDING.  IT IS AN INTERACTIVE PROCESS BETWEEN DISTRICT AND BUILDING LEVEL ADMINISTRATORS. 
</w:t>
      </w:r>
    </w:p>
    <w:p>
      <w:pPr>
        <w:ind w:left="720"/>
      </w:pPr>
      <w:r>
        <w:rPr>
          <w:rFonts w:ascii="Garamond" w:hAnsi="Garamond"/>
        </w:rPr>
        <w:t> This discussion of needs, goals and funding has been productive in helping the school district plot goals with a direction of providing resources to teachers and students.  The goal of successful learning and preparing children for the future is the final factor of determination for the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This is response to your questions of 11/21/2019.
</w:t>
      </w:r>
    </w:p>
    <w:p>
      <w:pPr>
        <w:ind w:left="720"/>
      </w:pPr>
      <w:r>
        <w:rPr>
          <w:rFonts w:ascii="Garamond" w:hAnsi="Garamond"/>
        </w:rPr>
        <w:t>1. Row 8 of Part A-III Curriculum development &amp; supervision.  The $90,717 for 2019-2020 is correct.  The amount of $862,386 in 2018-2019 is incorrect; and should not be used as a base comparative.
</w:t>
      </w:r>
    </w:p>
    <w:p>
      <w:pPr>
        <w:ind w:left="720"/>
      </w:pPr>
      <w:r>
        <w:rPr>
          <w:rFonts w:ascii="Garamond" w:hAnsi="Garamond"/>
        </w:rPr>
        <w:t>2. Row17 of Part A-III Other Post-Employment Benefits (OPEB).  The $1,607,844 for 2019-2020 is correct.  The amount of $775,642 in 2018-2019 is incorrect; and should not be used as a base comparative.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