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creates a budget based on a decentralized, zero based approach towards budgeting.  Each administrator is responsible for their own budget (object codes 200-599).  Staffing is based on actual people and where they are scheduled to work during the upcoming school year (clearly things change as the school year approaches and budget transfers become necessary for the funding to follow the staff member).  For a very small part of the budget there are per-pupil allocations that are based on the state aid amounts to be received for Instructional Material Aid.  The District develops the appropriations budget ahead of being told the amounts of funding to be received from state aid.  As those numbers are released and recalculated, the district adjusts the appropriations as necessary to fit within the constraints associated with the limited aid received.  The budget is consistently discussed with the board of education during work-sessions.  There are multiple opportunities for community members to come forward at the district's "Budget Input" sessions.  Once fully compiled there are multiple reviews that take place where the Superintendent and the Board discuss items to be included in and excluded from the budget leading up to the recommended budget by the Superintendent for board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Yes, the class sizes as per board guidelines are the same throughout the district.  In the smaller schools they have class sizes as low as 15 whereas in the largest schools the smallest class contains 21 students.  Additionally, teachers are not assigned to buildings based on experience level.  So if more experienced teachers are in a smaller school, the larger salary is allocated over a smaller population of students and therefore causes that schools per-pupil cost to increase.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