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New Hartford Central School District’s approach to allocation of funding for each school building is based on student enrollment and specialized programs within the specific buildings. This is supported during the budget development process involving multiple constituents. The Board of Education and Administration work collaboratively throughout the school year to develop a fair and equitable budget that provides for the needs of all students while maintaining fiscal responsibility. Class sizes have been kept at traditional levels to promote quality instruction and is determined by Board Policy based on the range and number of students per grade level. Special Education needs are determined by each student’s individual educational plan vetted through the District’s Committee on Special Education. Expenses associated with these needs are then allocated to the building that the child is being served. Our District provides a standardized, district-wide guaranteed and viable curriculum that supports all learners K-12.</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Myles Elementary School has the lowest enrollment of the three elementary schools and the highest percentage of students that qualify for Free and Reduced Price Lunch. In addition, it houses the only ENL program and the only 12:1:1 program for all District students in grades K-6. The district-wide 12:1:4 Developmental Program for students K-6 is based out of Bradley Elementary School. All of these factors contribute to higher than average pupil spending in those buildings. Federal/State Grant monies are allocated to the buildings that serve the population covered under the specific grant. For example, Title 1 Part A grant monies are allocated according to the staffing that supports the student needs at each of the three buildings that qualify based on FRPL. It provides academic support at Myles Elementary School, Perry Jr. High School, and the New Hartford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