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New Hartford Central School District’s approach to allocation of funding for each school building is based on student enrollment and specialized programs within the specific buildings. This is supported during the budget development process involving multiple constituents. The Board of Education and Administration work collaboratively throughout the school year to develop a fair and equitable budget that provides for the needs of all students while maintaining fiscal responsibility. Class sizes have been kept at traditional levels to promote quality instruction and is determined by Board Policy based on the range and number of students per grade level. Special Education needs are determined by each student’s individual educational plan vetted through the District’s Committee on Special Education. Expenses associated with these needs are then allocated to the building that the child is being served. Our District provides a standardized, district-wide guaranteed and viable curriculum that supports all learners K-12.</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Myles Elementary School has the lowest enrollment of the three elementary schools and the highest percentage of students that qualify for Free and Reduced Price Lunch. In addition, it houses the only ENL program and the only 12:1:1 program for all District students in grades K-6. The district-wide 12:1:4 Developmental Program for students K-6 is based out of Bradley Elementary School. All of these factors contribute to higher than average pupil spending in those buildings. Federal/State Grant monies are allocated to the buildings that serve the population covered under the specific grant. For example, Title 1 Part A grant monies are allocated according to the staffing that supports the student needs at each of the three buildings that qualify based on FRPL. It provides academic support at Myles Elementary School, Perry Jr. High School, and the New Hartford High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