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allocated based on the enrollments of each school.
</w:t>
      </w:r>
    </w:p>
    <w:p>
      <w:pPr>
        <w:ind w:left="720"/>
      </w:pPr>
      <w:r>
        <w:rPr>
          <w:rFonts w:ascii="Garamond" w:hAnsi="Garamond"/>
        </w:rPr>
        <w:t>Staffing is assigned based on maintaining reasonable class sizes at each grade level with corresponding support for the classroom.
</w:t>
      </w:r>
    </w:p>
    <w:p>
      <w:pPr>
        <w:ind w:left="720"/>
      </w:pPr>
      <w:r>
        <w:rPr>
          <w:rFonts w:ascii="Garamond" w:hAnsi="Garamond"/>
        </w:rPr>
        <w:t>Textbooks, materials and supplies, and computer software are allocated based on enrollment and requests from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ELLs are bused from the Otisville campus to the main campus to allow for greater efficiencies in instruction thereby lowering instructional salaries at Otisville with 0 FTE for ELL and assigning .8 FTE or more to the K-2, 3-5, MS and HS buildings on the main campus.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