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Principals receive supply and material budget requests from teachers in November and then those amounts are submitted to the district office for review in December.  The building budget begins with the previous year’s allocation and then is increased/decreased depending on the number of students.  This incremental budget approach sets the base budget for each school.  Student’s needs such as ELL, poverty and the number of students with disabilities are factored into overall allocations throughout the budget development process.  Class sizes, federal funding allocations and specific building needs are also considered.  Meetings are held with principals to discuss and provide documentation for any dollar increases based on these categories.  Amounts established for supplies, materials, computer software, library books, and textbooks are allocated based on student enrollment in each building.
</w:t>
      </w:r>
    </w:p>
    <w:p>
      <w:pPr>
        <w:ind w:left="720"/>
      </w:pPr>
      <w:r>
        <w:rPr>
          <w:rFonts w:ascii="Garamond" w:hAnsi="Garamond"/>
        </w:rPr>
        <w:t> 
</w:t>
      </w:r>
    </w:p>
    <w:p>
      <w:pPr>
        <w:ind w:left="720"/>
      </w:pPr>
      <w:r>
        <w:rPr>
          <w:rFonts w:ascii="Garamond" w:hAnsi="Garamond"/>
        </w:rPr>
        <w:t>Equipment funds are initially allocated to each building based on average need over previous years.  Each principal submits requests for additional funds based on teacher requests for equipment and overall building needs.  Funding decisions are then prioritized by central office after reviewing the requests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