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process requests are developed by each Program Director and Principal, and forwarded to the Business Official for consideration. Funding for salary and benefits are based on required staffing needs in each building. Typically, budgets for equipment, supplies and textbooks are allocated on a per pupil amount. 
</w:t>
      </w:r>
    </w:p>
    <w:p>
      <w:pPr>
        <w:ind w:left="720"/>
      </w:pPr>
      <w:r>
        <w:rPr>
          <w:rFonts w:ascii="Garamond" w:hAnsi="Garamond"/>
        </w:rPr>
        <w:t>
</w:t>
      </w:r>
    </w:p>
    <w:p>
      <w:pPr>
        <w:ind w:left="720"/>
      </w:pPr>
      <w:r>
        <w:rPr>
          <w:rFonts w:ascii="Garamond" w:hAnsi="Garamond"/>
        </w:rPr>
        <w:t>After the budget is approved by the Superintendent, it is presented to the Budget/Finance Committee which meets monthly. The final budget is adopted by the Board of Education and presented to the public for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Some schools (Birch Lane, East Lake) have district wide special education programs which requires additonal support.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