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As a result of the industry inherently being extremely labor intensive, the highest proportion of resources used in the District are to fund salaries and benefits.  These costs account for approximately 75% of the funds allocated to schools throughout the district.  The breakdown of these resources to each school is driven by the type and quantity of programs offered, and staff size.  Student enrollment along with the operating capacity of each school is an important factor to determining the staff size along with the demographics and educational needs of the student population.  For instance, schools with a high percentage of Students with Disabilities (SWD), English Language Learners (ELL) and Students enrolled in the Free and Reduced Lunch Program (FRPL) will have more staffing, resulting in higher resource distribution.
</w:t>
      </w:r>
    </w:p>
    <w:p>
      <w:pPr>
        <w:ind w:left="720"/>
      </w:pPr>
      <w:r>
        <w:rPr>
          <w:rFonts w:ascii="Garamond" w:hAnsi="Garamond"/>
        </w:rPr>
        <w:t>
</w:t>
      </w:r>
    </w:p>
    <w:p>
      <w:pPr>
        <w:ind w:left="720"/>
      </w:pPr>
      <w:r>
        <w:rPr>
          <w:rFonts w:ascii="Garamond" w:hAnsi="Garamond"/>
        </w:rPr>
        <w:t>The District uses a per pupil allocation of resources for costs such as computer hardware and software as well as textbooks and library books.  If possible, the District tries to maximize expenditure driven state aid for these eligible expenditures.
</w:t>
      </w:r>
    </w:p>
    <w:p>
      <w:pPr>
        <w:ind w:left="720"/>
      </w:pPr>
      <w:r>
        <w:rPr>
          <w:rFonts w:ascii="Garamond" w:hAnsi="Garamond"/>
        </w:rPr>
        <w:t>
</w:t>
      </w:r>
    </w:p>
    <w:p>
      <w:pPr>
        <w:ind w:left="720"/>
      </w:pPr>
      <w:r>
        <w:rPr>
          <w:rFonts w:ascii="Garamond" w:hAnsi="Garamond"/>
        </w:rPr>
        <w:t>Additional resources are allocated to each school based on enrollment.  These resources are comprised of costs such as contract services, field trips, materials and supplies and equipment and are at the discretion of the building principal to be disbursed in order to operate at maximum efficiency.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Alleghany Elementary houses our 15:1 and ICT programs from Kindergarten through fifth grade.  As a result, it has six classes with a very small teacher to student ratio increasing the staffing need for the building.  Also, the high percentage of special education students results in additional support staff such as: aides, social workers, psychologists, speech therapist and occupational therapists.  For example, the building has three speech therapist staffed, which far exceeds, almost all of the other elementary schools throughout the district.  For the Integrated Co-Teaching classes, which the building has seven of, each class requires two full-time teachers.  In typical classroom settings there is only one teacher, this doubles the amount of staff required for the classes at Alleghany.  Many of the special education students that are housed at Alleghany also require the services of reading specialists.  As a result, Alleghany also has several reading specialists on staff, increasing their overall per pupil expenditure.  As a result of the part 154 regulations, any student in Alleghany who requires ENL support, may require additional staffing for this purpose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