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During the budget development process, building-level administrators develop a “wish list” of spending priorities and share these with the Superintendent.  The Superintendent evaluates each of the building-level administrators’ proposals and determines priorities across the district. The Assistant Superintendent of Administrative Services develops a baseline expenditure budget which essentially calculates the estimate expenditures of maintaining current programming while also incorporating any expenditure reductions associated with the elimination/reduction of inefficient programming.  As projected revenue data (esp. State Aid) becomes available, the revenue budget is sharpened.  The revenue and expenditure budgets continue to be fine-tuned throughout the budget process.  If projected revenues exceed expenditures, the Superintendent and Board of Education evaluate the feasibility of adding staff and programming, based upon the building-level priorities that were establish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