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chools are allocated funds with several approaches. Building leadership are allocated funds specific to their budgeting discretion based on total student enrollment multiplied by a flat dollar amount. These flat dollar amounts are consistent for all elementary buildings and are greater for middle and high school level buildings. There is also a flat $10,000 discretion amount that is distributed to each building principal. For staffing purposes, student needs, special education placements, and cost/benefit between staffing for programming vs outside and/or BOCES placements are considered. The majority of funding allocation is driven by student need and population demands. Special education classroom and academic support services typically generate a greater need for funding and additional dollars are driven towards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