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executive team of the district meets with all budget makers from November through February to define their needs for the coming school year both in regards to staffing and non-staffing areas. From these meetings, the budget is built to accommodate these identified needs to the extent possible within the constraints of available revenue sources. Each school and department makes a presentation to the board of education from October through March so that there is transparency among all stakeholders. There are many public meetings once the budget has been adopted by the board of education both with PTAs and community groups. The only truly formulaic process used is for the categories of NY State materials aids (textbooks, library book, hardware, and software) which is based on the state per-pupil amount multiplied by the projected enrollment for each school.  These materials aids are a very small and insignificant portion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recognizes that two of our eight elementary schools appear to have excess funding above the district average. However, these two schools have the district’s highest free and reduced-price lunch percentages by far, as well as high counts of students with disabilities. In keeping with the district’s vision to strive to engage all students in the importance and relevance of thinking; to educate every learner to communicate, comprehend, and collaborate for understanding; and to empower all in the ICSD to achieve academic excellence, these additional resources at our most vulnerable schools is warrant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