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executive team of the district meets with all budget makers from November through February to define their needs for the coming school year both in regards to staffing and non-staffing areas. From these meetings, the budget is built to accommodate these identified needs to the extent possible within the constraints of available revenue sources. Each school and department makes a presentation to the board of education from October through March so that there is transparency among all stakeholders. There are many public meetings once the budget has been adopted by the board of education both with PTAs and community groups. The only truly formulaic process used is for the categories of NY State materials aids (textbooks, library book, hardware, and software) which is based on the state per-pupil amount multiplied by the projected enrollment for each school.  These materials aids are a very small and insignificant portion of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district recognizes that two of our eight elementary schools appear to have excess funding above the district average. However, these two schools have the district’s highest free and reduced-price lunch percentages by far, as well as high counts of students with disabilities. In keeping with the district’s vision to strive to engage all students in the importance and relevance of thinking; to educate every learner to communicate, comprehend, and collaborate for understanding; and to empower all in the ICSD to achieve academic excellence, these additional resources at our most vulnerable schools is warranted.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